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86"/>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2410"/>
        <w:gridCol w:w="1172"/>
        <w:gridCol w:w="1521"/>
        <w:gridCol w:w="2693"/>
        <w:gridCol w:w="567"/>
        <w:gridCol w:w="2493"/>
      </w:tblGrid>
      <w:tr w:rsidR="00B22F97" w:rsidTr="00B22F97">
        <w:trPr>
          <w:trHeight w:val="275"/>
        </w:trPr>
        <w:tc>
          <w:tcPr>
            <w:tcW w:w="14537" w:type="dxa"/>
            <w:gridSpan w:val="7"/>
          </w:tcPr>
          <w:p w:rsidR="00B22F97" w:rsidRPr="00200F32" w:rsidRDefault="00B22F97" w:rsidP="00B22F97">
            <w:pPr>
              <w:spacing w:after="0" w:line="240" w:lineRule="auto"/>
              <w:jc w:val="center"/>
              <w:rPr>
                <w:rFonts w:ascii="Century Gothic" w:eastAsia="Times New Roman" w:hAnsi="Century Gothic" w:cs="Arial"/>
                <w:b/>
                <w:bCs/>
                <w:kern w:val="24"/>
                <w:sz w:val="20"/>
                <w:szCs w:val="20"/>
                <w:lang w:eastAsia="es-MX"/>
              </w:rPr>
            </w:pPr>
            <w:r w:rsidRPr="00200F32">
              <w:rPr>
                <w:rFonts w:ascii="Century Gothic" w:eastAsia="Times New Roman" w:hAnsi="Century Gothic" w:cs="Arial"/>
                <w:b/>
                <w:bCs/>
                <w:kern w:val="24"/>
                <w:sz w:val="20"/>
                <w:szCs w:val="20"/>
                <w:lang w:eastAsia="es-MX"/>
              </w:rPr>
              <w:t>SITUACIÓN DE APRENDIZAJE 1: ¡EN SUS MARCAS, LISTOS…FUERA!</w:t>
            </w:r>
          </w:p>
          <w:p w:rsidR="00B22F97" w:rsidRPr="00200F32" w:rsidRDefault="00B22F97" w:rsidP="00B22F97">
            <w:pPr>
              <w:spacing w:after="0" w:line="240" w:lineRule="auto"/>
              <w:rPr>
                <w:rFonts w:ascii="Century Gothic" w:eastAsia="Times New Roman" w:hAnsi="Century Gothic" w:cs="Arial"/>
                <w:b/>
                <w:bCs/>
                <w:kern w:val="24"/>
                <w:sz w:val="20"/>
                <w:szCs w:val="20"/>
                <w:lang w:eastAsia="es-MX"/>
              </w:rPr>
            </w:pPr>
            <w:r w:rsidRPr="00200F32">
              <w:rPr>
                <w:rFonts w:ascii="Century Gothic" w:eastAsia="Times New Roman" w:hAnsi="Century Gothic" w:cs="Arial"/>
                <w:b/>
                <w:bCs/>
                <w:kern w:val="24"/>
                <w:sz w:val="20"/>
                <w:szCs w:val="20"/>
                <w:lang w:eastAsia="es-MX"/>
              </w:rPr>
              <w:t>CAMPO DISCIPLINAR: HUMANIDADES</w:t>
            </w:r>
            <w:r>
              <w:rPr>
                <w:rFonts w:ascii="Century Gothic" w:eastAsia="Times New Roman" w:hAnsi="Century Gothic" w:cs="Arial"/>
                <w:b/>
                <w:bCs/>
                <w:kern w:val="24"/>
                <w:sz w:val="20"/>
                <w:szCs w:val="20"/>
                <w:lang w:eastAsia="es-MX"/>
              </w:rPr>
              <w:t xml:space="preserve">                                                                                                                                  </w:t>
            </w:r>
            <w:r w:rsidRPr="00200F32">
              <w:rPr>
                <w:rFonts w:ascii="Century Gothic" w:eastAsia="Times New Roman" w:hAnsi="Century Gothic" w:cs="Arial"/>
                <w:b/>
                <w:bCs/>
                <w:kern w:val="24"/>
                <w:sz w:val="20"/>
                <w:szCs w:val="20"/>
                <w:lang w:eastAsia="es-MX"/>
              </w:rPr>
              <w:t>ÁREA DISCIPLINAR:  ETICA Y VALORES</w:t>
            </w:r>
          </w:p>
        </w:tc>
      </w:tr>
      <w:tr w:rsidR="00B22F97" w:rsidRPr="009276FA" w:rsidTr="00B22F97">
        <w:tblPrEx>
          <w:tblCellMar>
            <w:left w:w="0" w:type="dxa"/>
            <w:right w:w="0" w:type="dxa"/>
          </w:tblCellMar>
          <w:tblLook w:val="0420" w:firstRow="1" w:lastRow="0" w:firstColumn="0" w:lastColumn="0" w:noHBand="0" w:noVBand="1"/>
        </w:tblPrEx>
        <w:trPr>
          <w:trHeight w:val="283"/>
        </w:trPr>
        <w:tc>
          <w:tcPr>
            <w:tcW w:w="7263" w:type="dxa"/>
            <w:gridSpan w:val="3"/>
            <w:shd w:val="clear" w:color="auto" w:fill="4582AD"/>
            <w:vAlign w:val="center"/>
          </w:tcPr>
          <w:p w:rsidR="00B22F97" w:rsidRPr="005B3758" w:rsidRDefault="00B22F97" w:rsidP="00B22F97">
            <w:pPr>
              <w:spacing w:after="0" w:line="240" w:lineRule="auto"/>
              <w:ind w:left="326"/>
              <w:rPr>
                <w:rFonts w:ascii="Arial" w:eastAsia="Times New Roman" w:hAnsi="Arial" w:cs="Arial"/>
                <w:color w:val="FFFFFF" w:themeColor="background1"/>
                <w:kern w:val="24"/>
                <w:sz w:val="20"/>
                <w:szCs w:val="20"/>
                <w:lang w:eastAsia="es-MX"/>
              </w:rPr>
            </w:pPr>
            <w:r w:rsidRPr="005B3758">
              <w:rPr>
                <w:rFonts w:ascii="Arial" w:eastAsia="Times New Roman" w:hAnsi="Arial" w:cs="Arial"/>
                <w:color w:val="FFFFFF" w:themeColor="background1"/>
                <w:kern w:val="24"/>
                <w:sz w:val="20"/>
                <w:szCs w:val="20"/>
                <w:lang w:eastAsia="es-MX"/>
              </w:rPr>
              <w:t>CG.1</w:t>
            </w:r>
            <w:proofErr w:type="gramStart"/>
            <w:r>
              <w:rPr>
                <w:rFonts w:ascii="Arial" w:eastAsia="Times New Roman" w:hAnsi="Arial" w:cs="Arial"/>
                <w:color w:val="FFFFFF" w:themeColor="background1"/>
                <w:kern w:val="24"/>
                <w:sz w:val="20"/>
                <w:szCs w:val="20"/>
                <w:lang w:eastAsia="es-MX"/>
              </w:rPr>
              <w:t>,A.</w:t>
            </w:r>
            <w:r w:rsidRPr="005B3758">
              <w:rPr>
                <w:rFonts w:ascii="Arial" w:eastAsia="Times New Roman" w:hAnsi="Arial" w:cs="Arial"/>
                <w:color w:val="FFFFFF" w:themeColor="background1"/>
                <w:kern w:val="24"/>
                <w:sz w:val="20"/>
                <w:szCs w:val="20"/>
                <w:lang w:eastAsia="es-MX"/>
              </w:rPr>
              <w:t>3</w:t>
            </w:r>
            <w:proofErr w:type="gramEnd"/>
            <w:r w:rsidRPr="005B3758">
              <w:rPr>
                <w:rFonts w:ascii="Arial" w:eastAsia="Times New Roman" w:hAnsi="Arial" w:cs="Arial"/>
                <w:color w:val="FFFFFF" w:themeColor="background1"/>
                <w:kern w:val="24"/>
                <w:sz w:val="20"/>
                <w:szCs w:val="20"/>
                <w:lang w:eastAsia="es-MX"/>
              </w:rPr>
              <w:t xml:space="preserve"> Elige alternativas y cursos de acción con base en criterios sustentados y en el marco de un proyecto de vida.</w:t>
            </w:r>
          </w:p>
        </w:tc>
        <w:tc>
          <w:tcPr>
            <w:tcW w:w="7274" w:type="dxa"/>
            <w:gridSpan w:val="4"/>
            <w:shd w:val="clear" w:color="auto" w:fill="4582AD"/>
            <w:vAlign w:val="center"/>
          </w:tcPr>
          <w:p w:rsidR="00B22F97" w:rsidRPr="00F70D27" w:rsidRDefault="00B22F97" w:rsidP="00B22F97">
            <w:pPr>
              <w:spacing w:after="0" w:line="240" w:lineRule="auto"/>
              <w:rPr>
                <w:rFonts w:ascii="Arial" w:eastAsia="Times New Roman" w:hAnsi="Arial" w:cs="Arial"/>
                <w:color w:val="FFFFFF" w:themeColor="background1"/>
                <w:kern w:val="24"/>
                <w:sz w:val="20"/>
                <w:szCs w:val="20"/>
                <w:lang w:eastAsia="es-MX"/>
              </w:rPr>
            </w:pPr>
            <w:r w:rsidRPr="00E007D8">
              <w:rPr>
                <w:rFonts w:ascii="Arial" w:eastAsia="Times New Roman" w:hAnsi="Arial" w:cs="Arial"/>
                <w:color w:val="FFFFFF" w:themeColor="background1"/>
                <w:kern w:val="24"/>
                <w:sz w:val="20"/>
                <w:szCs w:val="20"/>
                <w:lang w:eastAsia="es-MX"/>
              </w:rPr>
              <w:t xml:space="preserve">CD.5 Construye, </w:t>
            </w:r>
            <w:r w:rsidRPr="005B3758">
              <w:rPr>
                <w:rFonts w:ascii="Arial" w:eastAsia="Times New Roman" w:hAnsi="Arial" w:cs="Arial"/>
                <w:color w:val="FFFFFF" w:themeColor="background1"/>
                <w:kern w:val="24"/>
                <w:sz w:val="20"/>
                <w:szCs w:val="20"/>
                <w:lang w:eastAsia="es-MX"/>
              </w:rPr>
              <w:t>evalúa y mejora distintos tipos de argumentos, sobre su vida cotidiana de acuerdo con los principios lógicos.</w:t>
            </w:r>
          </w:p>
        </w:tc>
      </w:tr>
      <w:tr w:rsidR="00B22F97" w:rsidRPr="009276FA" w:rsidTr="00B22F97">
        <w:tblPrEx>
          <w:tblCellMar>
            <w:left w:w="0" w:type="dxa"/>
            <w:right w:w="0" w:type="dxa"/>
          </w:tblCellMar>
          <w:tblLook w:val="0420" w:firstRow="1" w:lastRow="0" w:firstColumn="0" w:lastColumn="0" w:noHBand="0" w:noVBand="1"/>
        </w:tblPrEx>
        <w:trPr>
          <w:trHeight w:val="264"/>
        </w:trPr>
        <w:tc>
          <w:tcPr>
            <w:tcW w:w="3681" w:type="dxa"/>
            <w:shd w:val="clear" w:color="auto" w:fill="9CC2E5" w:themeFill="accent1" w:themeFillTint="99"/>
          </w:tcPr>
          <w:p w:rsidR="00B22F97" w:rsidRPr="0014749C" w:rsidRDefault="00B22F97" w:rsidP="00B22F97">
            <w:pPr>
              <w:pStyle w:val="Prrafodelista"/>
              <w:numPr>
                <w:ilvl w:val="0"/>
                <w:numId w:val="1"/>
              </w:numPr>
              <w:spacing w:after="0" w:line="240" w:lineRule="auto"/>
              <w:ind w:left="137" w:right="220"/>
              <w:rPr>
                <w:rFonts w:ascii="Arial" w:eastAsiaTheme="minorEastAsia" w:hAnsi="Arial" w:cs="Arial"/>
                <w:color w:val="FFFFFF" w:themeColor="background1"/>
                <w:kern w:val="24"/>
                <w:sz w:val="16"/>
                <w:szCs w:val="16"/>
                <w:lang w:eastAsia="es-MX"/>
              </w:rPr>
            </w:pPr>
            <w:r w:rsidRPr="0014749C">
              <w:rPr>
                <w:rFonts w:ascii="Arial" w:eastAsia="Times New Roman" w:hAnsi="Arial" w:cs="Arial"/>
                <w:color w:val="FFFFFF" w:themeColor="background1"/>
                <w:kern w:val="24"/>
                <w:sz w:val="16"/>
                <w:szCs w:val="16"/>
                <w:lang w:eastAsia="es-MX"/>
              </w:rPr>
              <w:t>CD.Com</w:t>
            </w:r>
            <w:proofErr w:type="gramStart"/>
            <w:r w:rsidRPr="0014749C">
              <w:rPr>
                <w:rFonts w:ascii="Arial" w:eastAsia="Times New Roman" w:hAnsi="Arial" w:cs="Arial"/>
                <w:color w:val="FFFFFF" w:themeColor="background1"/>
                <w:kern w:val="24"/>
                <w:sz w:val="16"/>
                <w:szCs w:val="16"/>
                <w:lang w:eastAsia="es-MX"/>
              </w:rPr>
              <w:t>.:</w:t>
            </w:r>
            <w:proofErr w:type="gramEnd"/>
            <w:r w:rsidRPr="0014749C">
              <w:rPr>
                <w:rFonts w:ascii="Arial" w:eastAsiaTheme="minorEastAsia" w:hAnsi="Arial" w:cs="Arial"/>
                <w:color w:val="FFFFFF" w:themeColor="background1"/>
                <w:kern w:val="24"/>
                <w:sz w:val="16"/>
                <w:szCs w:val="16"/>
                <w:lang w:eastAsia="es-MX"/>
              </w:rPr>
              <w:t>(CO-001,CO-002, CO-015, CO-023) Y</w:t>
            </w:r>
            <w:r w:rsidRPr="0014749C">
              <w:rPr>
                <w:rFonts w:ascii="Arial" w:eastAsia="Times New Roman" w:hAnsi="Arial" w:cs="Arial"/>
                <w:color w:val="FFFFFF" w:themeColor="background1"/>
                <w:kern w:val="24"/>
                <w:sz w:val="16"/>
                <w:szCs w:val="16"/>
                <w:lang w:eastAsia="es-MX"/>
              </w:rPr>
              <w:t>.</w:t>
            </w:r>
            <w:r w:rsidRPr="0014749C">
              <w:rPr>
                <w:rFonts w:ascii="Arial" w:eastAsiaTheme="minorEastAsia" w:hAnsi="Arial" w:cs="Arial"/>
                <w:color w:val="FFFFFF" w:themeColor="background1"/>
                <w:kern w:val="24"/>
                <w:sz w:val="16"/>
                <w:szCs w:val="16"/>
                <w:lang w:eastAsia="es-MX"/>
              </w:rPr>
              <w:t>(CO-001, CO-002, CO-004, CO-005)</w:t>
            </w:r>
          </w:p>
        </w:tc>
        <w:tc>
          <w:tcPr>
            <w:tcW w:w="2410" w:type="dxa"/>
            <w:shd w:val="clear" w:color="auto" w:fill="9CC2E5" w:themeFill="accent1" w:themeFillTint="99"/>
          </w:tcPr>
          <w:p w:rsidR="00B22F97" w:rsidRPr="004A3A7B" w:rsidRDefault="00B22F97" w:rsidP="004A3A7B">
            <w:pPr>
              <w:spacing w:after="0" w:line="240" w:lineRule="auto"/>
              <w:ind w:left="55" w:right="126"/>
              <w:rPr>
                <w:rFonts w:ascii="Century Gothic" w:eastAsia="Times New Roman" w:hAnsi="Century Gothic" w:cs="Times New Roman"/>
                <w:b/>
                <w:sz w:val="16"/>
                <w:szCs w:val="16"/>
                <w:lang w:val="es-ES"/>
              </w:rPr>
            </w:pPr>
            <w:proofErr w:type="spellStart"/>
            <w:r w:rsidRPr="0014749C">
              <w:rPr>
                <w:rFonts w:ascii="Arial" w:eastAsia="Times New Roman" w:hAnsi="Arial" w:cs="Arial"/>
                <w:color w:val="FFFFFF" w:themeColor="background1"/>
                <w:kern w:val="24"/>
                <w:sz w:val="16"/>
                <w:szCs w:val="16"/>
                <w:lang w:eastAsia="es-MX"/>
              </w:rPr>
              <w:t>CD.Hum</w:t>
            </w:r>
            <w:proofErr w:type="spellEnd"/>
            <w:r w:rsidRPr="004A3A7B">
              <w:rPr>
                <w:rFonts w:ascii="Arial" w:eastAsia="Times New Roman" w:hAnsi="Arial" w:cs="Arial"/>
                <w:color w:val="FFFFFF" w:themeColor="background1"/>
                <w:kern w:val="24"/>
                <w:sz w:val="16"/>
                <w:szCs w:val="16"/>
                <w:lang w:eastAsia="es-MX"/>
              </w:rPr>
              <w:t>.:</w:t>
            </w:r>
            <w:r w:rsidR="004A3A7B" w:rsidRPr="004A3A7B">
              <w:rPr>
                <w:rFonts w:ascii="Century Gothic" w:eastAsia="Times New Roman" w:hAnsi="Century Gothic" w:cs="Times New Roman"/>
                <w:b/>
                <w:sz w:val="16"/>
                <w:szCs w:val="16"/>
                <w:lang w:val="es-ES"/>
              </w:rPr>
              <w:t xml:space="preserve"> </w:t>
            </w:r>
            <w:r w:rsidR="004A3A7B" w:rsidRPr="004A3A7B">
              <w:rPr>
                <w:rFonts w:ascii="Century Gothic" w:eastAsia="Times New Roman" w:hAnsi="Century Gothic" w:cs="Times New Roman"/>
                <w:b/>
                <w:sz w:val="16"/>
                <w:szCs w:val="16"/>
                <w:lang w:val="es-ES"/>
              </w:rPr>
              <w:t>HU-001HU-002</w:t>
            </w:r>
            <w:r w:rsidR="004A3A7B" w:rsidRPr="004A3A7B">
              <w:rPr>
                <w:rFonts w:ascii="Century Gothic" w:eastAsia="Times New Roman" w:hAnsi="Century Gothic" w:cs="Times New Roman"/>
                <w:b/>
                <w:sz w:val="16"/>
                <w:szCs w:val="16"/>
                <w:lang w:val="es-ES"/>
              </w:rPr>
              <w:t xml:space="preserve">, </w:t>
            </w:r>
            <w:r w:rsidR="004A3A7B" w:rsidRPr="004A3A7B">
              <w:rPr>
                <w:rFonts w:ascii="Century Gothic" w:eastAsia="Times New Roman" w:hAnsi="Century Gothic" w:cs="Times New Roman"/>
                <w:b/>
                <w:sz w:val="16"/>
                <w:szCs w:val="16"/>
                <w:lang w:val="es-ES"/>
              </w:rPr>
              <w:t>HU-003</w:t>
            </w:r>
            <w:r w:rsidR="004A3A7B" w:rsidRPr="004A3A7B">
              <w:rPr>
                <w:rFonts w:ascii="Century Gothic" w:eastAsia="Times New Roman" w:hAnsi="Century Gothic" w:cs="Times New Roman"/>
                <w:b/>
                <w:sz w:val="16"/>
                <w:szCs w:val="16"/>
                <w:lang w:val="es-ES"/>
              </w:rPr>
              <w:t xml:space="preserve">, </w:t>
            </w:r>
            <w:r w:rsidR="004A3A7B">
              <w:rPr>
                <w:rFonts w:ascii="Century Gothic" w:eastAsia="Times New Roman" w:hAnsi="Century Gothic" w:cs="Times New Roman"/>
                <w:b/>
                <w:sz w:val="16"/>
                <w:szCs w:val="16"/>
                <w:lang w:val="es-ES"/>
              </w:rPr>
              <w:t>HU-206</w:t>
            </w:r>
          </w:p>
        </w:tc>
        <w:tc>
          <w:tcPr>
            <w:tcW w:w="2693" w:type="dxa"/>
            <w:gridSpan w:val="2"/>
            <w:shd w:val="clear" w:color="auto" w:fill="9CC2E5" w:themeFill="accent1" w:themeFillTint="99"/>
          </w:tcPr>
          <w:p w:rsidR="00B22F97" w:rsidRPr="0014749C" w:rsidRDefault="00B22F97" w:rsidP="00B22F97">
            <w:pPr>
              <w:spacing w:after="0" w:line="240" w:lineRule="auto"/>
              <w:rPr>
                <w:rFonts w:ascii="Arial" w:eastAsia="Times New Roman" w:hAnsi="Arial" w:cs="Arial"/>
                <w:color w:val="FFFFFF" w:themeColor="background1"/>
                <w:kern w:val="24"/>
                <w:sz w:val="16"/>
                <w:szCs w:val="16"/>
                <w:lang w:eastAsia="es-MX"/>
              </w:rPr>
            </w:pPr>
            <w:r w:rsidRPr="0014749C">
              <w:rPr>
                <w:rFonts w:ascii="Arial" w:eastAsia="Times New Roman" w:hAnsi="Arial" w:cs="Arial"/>
                <w:color w:val="FFFFFF" w:themeColor="background1"/>
                <w:kern w:val="24"/>
                <w:sz w:val="16"/>
                <w:szCs w:val="16"/>
                <w:lang w:eastAsia="es-MX"/>
              </w:rPr>
              <w:t>CD.Csoc</w:t>
            </w:r>
            <w:proofErr w:type="gramStart"/>
            <w:r w:rsidRPr="0014749C">
              <w:rPr>
                <w:rFonts w:ascii="Arial" w:eastAsia="Times New Roman" w:hAnsi="Arial" w:cs="Arial"/>
                <w:color w:val="FFFFFF" w:themeColor="background1"/>
                <w:kern w:val="24"/>
                <w:sz w:val="16"/>
                <w:szCs w:val="16"/>
                <w:lang w:eastAsia="es-MX"/>
              </w:rPr>
              <w:t>.:</w:t>
            </w:r>
            <w:proofErr w:type="gramEnd"/>
            <w:r w:rsidRPr="0014749C">
              <w:rPr>
                <w:rFonts w:ascii="Arial" w:eastAsiaTheme="minorEastAsia" w:hAnsi="Arial" w:cs="Arial"/>
                <w:color w:val="FFFFFF" w:themeColor="background1"/>
                <w:kern w:val="24"/>
                <w:sz w:val="16"/>
                <w:szCs w:val="16"/>
                <w:lang w:eastAsia="es-MX"/>
              </w:rPr>
              <w:t>(CS-001,CS-002)</w:t>
            </w:r>
          </w:p>
        </w:tc>
        <w:tc>
          <w:tcPr>
            <w:tcW w:w="3260" w:type="dxa"/>
            <w:gridSpan w:val="2"/>
            <w:shd w:val="clear" w:color="auto" w:fill="9CC2E5" w:themeFill="accent1" w:themeFillTint="99"/>
          </w:tcPr>
          <w:p w:rsidR="00B22F97" w:rsidRPr="0014749C" w:rsidRDefault="00B22F97" w:rsidP="00B22F97">
            <w:pPr>
              <w:spacing w:after="0" w:line="240" w:lineRule="auto"/>
              <w:rPr>
                <w:rFonts w:ascii="Arial" w:eastAsia="Times New Roman" w:hAnsi="Arial" w:cs="Arial"/>
                <w:color w:val="FFFFFF" w:themeColor="background1"/>
                <w:kern w:val="24"/>
                <w:sz w:val="16"/>
                <w:szCs w:val="16"/>
                <w:lang w:eastAsia="es-MX"/>
              </w:rPr>
            </w:pPr>
            <w:r w:rsidRPr="0014749C">
              <w:rPr>
                <w:rFonts w:ascii="Arial" w:eastAsia="Times New Roman" w:hAnsi="Arial" w:cs="Arial"/>
                <w:color w:val="FFFFFF" w:themeColor="background1"/>
                <w:kern w:val="24"/>
                <w:sz w:val="16"/>
                <w:szCs w:val="16"/>
                <w:lang w:eastAsia="es-MX"/>
              </w:rPr>
              <w:t>CD.Mat.</w:t>
            </w:r>
            <w:r w:rsidRPr="0014749C">
              <w:rPr>
                <w:rFonts w:ascii="Arial" w:eastAsiaTheme="minorEastAsia" w:hAnsi="Arial" w:cs="Arial"/>
                <w:color w:val="FFFFFF" w:themeColor="background1"/>
                <w:kern w:val="24"/>
                <w:sz w:val="16"/>
                <w:szCs w:val="16"/>
                <w:lang w:eastAsia="es-MX"/>
              </w:rPr>
              <w:t>(MA-009, MA-401)  Y (MA-009, MA-401),</w:t>
            </w:r>
          </w:p>
        </w:tc>
        <w:tc>
          <w:tcPr>
            <w:tcW w:w="2493" w:type="dxa"/>
            <w:shd w:val="clear" w:color="auto" w:fill="9CC2E5" w:themeFill="accent1" w:themeFillTint="99"/>
          </w:tcPr>
          <w:p w:rsidR="00B22F97" w:rsidRPr="0014749C" w:rsidRDefault="00B22F97" w:rsidP="00B22F97">
            <w:pPr>
              <w:spacing w:after="0" w:line="240" w:lineRule="auto"/>
              <w:rPr>
                <w:rFonts w:ascii="Arial" w:eastAsia="Times New Roman" w:hAnsi="Arial" w:cs="Arial"/>
                <w:color w:val="FFFFFF" w:themeColor="background1"/>
                <w:kern w:val="24"/>
                <w:sz w:val="16"/>
                <w:szCs w:val="16"/>
                <w:lang w:eastAsia="es-MX"/>
              </w:rPr>
            </w:pPr>
            <w:r w:rsidRPr="0014749C">
              <w:rPr>
                <w:rFonts w:ascii="Arial" w:eastAsia="Times New Roman" w:hAnsi="Arial" w:cs="Arial"/>
                <w:color w:val="FFFFFF" w:themeColor="background1"/>
                <w:kern w:val="24"/>
                <w:sz w:val="16"/>
                <w:szCs w:val="16"/>
                <w:lang w:eastAsia="es-MX"/>
              </w:rPr>
              <w:t>CD.Exp.: NO APLICA</w:t>
            </w:r>
          </w:p>
        </w:tc>
      </w:tr>
      <w:tr w:rsidR="00B22F97" w:rsidTr="004A3A7B">
        <w:trPr>
          <w:trHeight w:val="258"/>
        </w:trPr>
        <w:tc>
          <w:tcPr>
            <w:tcW w:w="11477" w:type="dxa"/>
            <w:gridSpan w:val="5"/>
            <w:vMerge w:val="restart"/>
          </w:tcPr>
          <w:p w:rsidR="00B22F97" w:rsidRPr="0014749C" w:rsidRDefault="00B22F97" w:rsidP="00B22F97">
            <w:pPr>
              <w:spacing w:after="0" w:line="240" w:lineRule="auto"/>
              <w:ind w:right="78"/>
              <w:contextualSpacing/>
              <w:rPr>
                <w:rFonts w:ascii="Arial" w:eastAsia="Calibri" w:hAnsi="Arial" w:cs="Arial"/>
                <w:sz w:val="18"/>
                <w:szCs w:val="18"/>
              </w:rPr>
            </w:pPr>
            <w:r w:rsidRPr="0014749C">
              <w:rPr>
                <w:rFonts w:ascii="Arial" w:eastAsia="Calibri" w:hAnsi="Arial" w:cs="Arial"/>
                <w:sz w:val="18"/>
                <w:szCs w:val="18"/>
              </w:rPr>
              <w:t xml:space="preserve">ACTIVIDADES EN SITUACIÓN: INICIO </w:t>
            </w:r>
            <w:r w:rsidRPr="0014749C">
              <w:rPr>
                <w:rFonts w:ascii="Arial" w:eastAsiaTheme="minorEastAsia" w:hAnsi="Arial" w:cs="Arial"/>
                <w:color w:val="000000" w:themeColor="dark1"/>
                <w:kern w:val="24"/>
                <w:sz w:val="18"/>
                <w:szCs w:val="18"/>
                <w:lang w:eastAsia="es-MX"/>
              </w:rPr>
              <w:t>(NIVEL TAXONOMICO COMPRENSIÓN/ METACOGNICION)(RECUPERACION/ANÁLISIS)</w:t>
            </w:r>
          </w:p>
          <w:p w:rsidR="00B22F97" w:rsidRPr="00117FAB" w:rsidRDefault="00B22F97" w:rsidP="00B22F97">
            <w:pPr>
              <w:spacing w:after="0" w:line="240" w:lineRule="auto"/>
              <w:ind w:left="137" w:right="78"/>
              <w:contextualSpacing/>
              <w:rPr>
                <w:rFonts w:ascii="Arial" w:eastAsia="Calibri" w:hAnsi="Arial" w:cs="Arial"/>
                <w:sz w:val="16"/>
                <w:szCs w:val="16"/>
              </w:rPr>
            </w:pPr>
            <w:r w:rsidRPr="00117FAB">
              <w:rPr>
                <w:rFonts w:ascii="Arial" w:eastAsia="Calibri" w:hAnsi="Arial" w:cs="Arial"/>
                <w:sz w:val="16"/>
                <w:szCs w:val="16"/>
              </w:rPr>
              <w:t xml:space="preserve">a) Explicar quién eres, qué haces en la vida, hacia dónde vas, qué es lo que consideras valioso y qué es lo que te hace diferente a los demás. </w:t>
            </w:r>
          </w:p>
          <w:p w:rsidR="00B22F97" w:rsidRPr="00117FAB" w:rsidRDefault="00B22F97" w:rsidP="00B22F97">
            <w:pPr>
              <w:spacing w:after="0" w:line="240" w:lineRule="auto"/>
              <w:ind w:left="137" w:right="78"/>
              <w:contextualSpacing/>
              <w:rPr>
                <w:rFonts w:ascii="Arial" w:eastAsia="Calibri" w:hAnsi="Arial" w:cs="Arial"/>
                <w:sz w:val="16"/>
                <w:szCs w:val="16"/>
              </w:rPr>
            </w:pPr>
            <w:r w:rsidRPr="00117FAB">
              <w:rPr>
                <w:rFonts w:ascii="Arial" w:eastAsia="Calibri" w:hAnsi="Arial" w:cs="Arial"/>
                <w:sz w:val="16"/>
                <w:szCs w:val="16"/>
              </w:rPr>
              <w:t xml:space="preserve">b) Describir tus fortalezas y debilidades para estudiar. </w:t>
            </w:r>
          </w:p>
          <w:p w:rsidR="00B22F97" w:rsidRPr="00FE3E2A" w:rsidRDefault="00B22F97" w:rsidP="00B22F97">
            <w:pPr>
              <w:spacing w:after="0" w:line="240" w:lineRule="auto"/>
              <w:ind w:left="137" w:right="78"/>
              <w:contextualSpacing/>
              <w:rPr>
                <w:rFonts w:ascii="Arial" w:eastAsia="Calibri" w:hAnsi="Arial" w:cs="Arial"/>
                <w:sz w:val="18"/>
                <w:szCs w:val="18"/>
              </w:rPr>
            </w:pPr>
            <w:r w:rsidRPr="00117FAB">
              <w:rPr>
                <w:rFonts w:ascii="Arial" w:eastAsia="Calibri" w:hAnsi="Arial" w:cs="Arial"/>
                <w:sz w:val="16"/>
                <w:szCs w:val="16"/>
              </w:rPr>
              <w:t>c) Describe tus fortalezas y debilidades sicomotoras para la actividad física.</w:t>
            </w:r>
            <w:bookmarkStart w:id="0" w:name="_GoBack"/>
            <w:bookmarkEnd w:id="0"/>
          </w:p>
        </w:tc>
        <w:tc>
          <w:tcPr>
            <w:tcW w:w="3060" w:type="dxa"/>
            <w:gridSpan w:val="2"/>
          </w:tcPr>
          <w:p w:rsidR="00B22F97" w:rsidRPr="00FE3E2A" w:rsidRDefault="00B22F97" w:rsidP="00B22F97">
            <w:pPr>
              <w:spacing w:after="0" w:line="240" w:lineRule="auto"/>
              <w:ind w:right="78"/>
              <w:contextualSpacing/>
              <w:rPr>
                <w:rFonts w:ascii="Arial" w:eastAsia="Calibri" w:hAnsi="Arial" w:cs="Arial"/>
                <w:sz w:val="18"/>
                <w:szCs w:val="18"/>
              </w:rPr>
            </w:pPr>
            <w:r>
              <w:rPr>
                <w:rFonts w:ascii="Arial" w:eastAsia="Calibri" w:hAnsi="Arial" w:cs="Arial"/>
                <w:sz w:val="18"/>
                <w:szCs w:val="18"/>
              </w:rPr>
              <w:t>Tiempo aprox.</w:t>
            </w:r>
          </w:p>
        </w:tc>
      </w:tr>
      <w:tr w:rsidR="00B22F97" w:rsidTr="004A3A7B">
        <w:trPr>
          <w:trHeight w:val="240"/>
        </w:trPr>
        <w:tc>
          <w:tcPr>
            <w:tcW w:w="11477" w:type="dxa"/>
            <w:gridSpan w:val="5"/>
            <w:vMerge/>
          </w:tcPr>
          <w:p w:rsidR="00B22F97" w:rsidRPr="0014749C" w:rsidRDefault="00B22F97" w:rsidP="00B22F97">
            <w:pPr>
              <w:spacing w:after="0" w:line="240" w:lineRule="auto"/>
              <w:ind w:right="78"/>
              <w:contextualSpacing/>
              <w:rPr>
                <w:rFonts w:ascii="Arial" w:eastAsia="Calibri" w:hAnsi="Arial" w:cs="Arial"/>
                <w:sz w:val="18"/>
                <w:szCs w:val="18"/>
              </w:rPr>
            </w:pPr>
          </w:p>
        </w:tc>
        <w:tc>
          <w:tcPr>
            <w:tcW w:w="3060" w:type="dxa"/>
            <w:gridSpan w:val="2"/>
          </w:tcPr>
          <w:p w:rsidR="00B22F97" w:rsidRPr="00FE3E2A" w:rsidRDefault="00B22F97" w:rsidP="00B22F97">
            <w:pPr>
              <w:spacing w:after="0" w:line="240" w:lineRule="auto"/>
              <w:ind w:right="78"/>
              <w:contextualSpacing/>
              <w:rPr>
                <w:rFonts w:ascii="Arial" w:eastAsia="Calibri" w:hAnsi="Arial" w:cs="Arial"/>
                <w:sz w:val="18"/>
                <w:szCs w:val="18"/>
              </w:rPr>
            </w:pPr>
            <w:r>
              <w:rPr>
                <w:rFonts w:ascii="Arial" w:eastAsia="Calibri" w:hAnsi="Arial" w:cs="Arial"/>
                <w:sz w:val="18"/>
                <w:szCs w:val="18"/>
              </w:rPr>
              <w:t>1 sesión</w:t>
            </w:r>
            <w:r w:rsidR="004A3A7B">
              <w:rPr>
                <w:rFonts w:ascii="Arial" w:eastAsia="Calibri" w:hAnsi="Arial" w:cs="Arial"/>
                <w:sz w:val="18"/>
                <w:szCs w:val="18"/>
              </w:rPr>
              <w:t xml:space="preserve"> </w:t>
            </w:r>
          </w:p>
        </w:tc>
      </w:tr>
      <w:tr w:rsidR="00B22F97" w:rsidTr="004A3A7B">
        <w:trPr>
          <w:trHeight w:val="165"/>
        </w:trPr>
        <w:tc>
          <w:tcPr>
            <w:tcW w:w="11477" w:type="dxa"/>
            <w:gridSpan w:val="5"/>
            <w:vMerge/>
          </w:tcPr>
          <w:p w:rsidR="00B22F97" w:rsidRPr="0014749C" w:rsidRDefault="00B22F97" w:rsidP="00B22F97">
            <w:pPr>
              <w:spacing w:after="0" w:line="240" w:lineRule="auto"/>
              <w:ind w:right="78"/>
              <w:contextualSpacing/>
              <w:rPr>
                <w:rFonts w:ascii="Arial" w:eastAsia="Calibri" w:hAnsi="Arial" w:cs="Arial"/>
                <w:sz w:val="18"/>
                <w:szCs w:val="18"/>
              </w:rPr>
            </w:pPr>
          </w:p>
        </w:tc>
        <w:tc>
          <w:tcPr>
            <w:tcW w:w="3060" w:type="dxa"/>
            <w:gridSpan w:val="2"/>
          </w:tcPr>
          <w:p w:rsidR="00B22F97" w:rsidRPr="00FE3E2A" w:rsidRDefault="00B22F97" w:rsidP="00B22F97">
            <w:pPr>
              <w:spacing w:after="0" w:line="240" w:lineRule="auto"/>
              <w:ind w:right="78"/>
              <w:contextualSpacing/>
              <w:rPr>
                <w:rFonts w:ascii="Arial" w:eastAsia="Calibri" w:hAnsi="Arial" w:cs="Arial"/>
                <w:sz w:val="18"/>
                <w:szCs w:val="18"/>
              </w:rPr>
            </w:pPr>
            <w:r>
              <w:rPr>
                <w:rFonts w:ascii="Arial" w:eastAsia="Calibri" w:hAnsi="Arial" w:cs="Arial"/>
                <w:sz w:val="18"/>
                <w:szCs w:val="18"/>
              </w:rPr>
              <w:t>1 sesión</w:t>
            </w:r>
          </w:p>
        </w:tc>
      </w:tr>
      <w:tr w:rsidR="00B22F97" w:rsidTr="004A3A7B">
        <w:trPr>
          <w:trHeight w:val="135"/>
        </w:trPr>
        <w:tc>
          <w:tcPr>
            <w:tcW w:w="11477" w:type="dxa"/>
            <w:gridSpan w:val="5"/>
            <w:vMerge/>
          </w:tcPr>
          <w:p w:rsidR="00B22F97" w:rsidRPr="0014749C" w:rsidRDefault="00B22F97" w:rsidP="00B22F97">
            <w:pPr>
              <w:spacing w:after="0" w:line="240" w:lineRule="auto"/>
              <w:ind w:right="78"/>
              <w:contextualSpacing/>
              <w:rPr>
                <w:rFonts w:ascii="Arial" w:eastAsia="Calibri" w:hAnsi="Arial" w:cs="Arial"/>
                <w:sz w:val="18"/>
                <w:szCs w:val="18"/>
              </w:rPr>
            </w:pPr>
          </w:p>
        </w:tc>
        <w:tc>
          <w:tcPr>
            <w:tcW w:w="3060" w:type="dxa"/>
            <w:gridSpan w:val="2"/>
          </w:tcPr>
          <w:p w:rsidR="00B22F97" w:rsidRPr="00FE3E2A" w:rsidRDefault="00B22F97" w:rsidP="00B22F97">
            <w:pPr>
              <w:spacing w:after="0" w:line="240" w:lineRule="auto"/>
              <w:ind w:right="78"/>
              <w:contextualSpacing/>
              <w:rPr>
                <w:rFonts w:ascii="Arial" w:eastAsia="Calibri" w:hAnsi="Arial" w:cs="Arial"/>
                <w:sz w:val="18"/>
                <w:szCs w:val="18"/>
              </w:rPr>
            </w:pPr>
            <w:r>
              <w:rPr>
                <w:rFonts w:ascii="Arial" w:eastAsia="Calibri" w:hAnsi="Arial" w:cs="Arial"/>
                <w:sz w:val="18"/>
                <w:szCs w:val="18"/>
              </w:rPr>
              <w:t>1 sesión</w:t>
            </w:r>
          </w:p>
        </w:tc>
      </w:tr>
      <w:tr w:rsidR="00B22F97" w:rsidTr="00B22F97">
        <w:trPr>
          <w:trHeight w:val="203"/>
        </w:trPr>
        <w:tc>
          <w:tcPr>
            <w:tcW w:w="7263" w:type="dxa"/>
            <w:gridSpan w:val="3"/>
            <w:shd w:val="clear" w:color="auto" w:fill="9CC2E5" w:themeFill="accent1" w:themeFillTint="99"/>
          </w:tcPr>
          <w:p w:rsidR="00B22F97" w:rsidRDefault="00B22F97" w:rsidP="00B22F97">
            <w:pPr>
              <w:spacing w:after="0"/>
              <w:rPr>
                <w:rFonts w:ascii="Arial" w:hAnsi="Arial" w:cs="Arial"/>
              </w:rPr>
            </w:pPr>
            <w:r>
              <w:rPr>
                <w:rFonts w:ascii="Arial" w:hAnsi="Arial" w:cs="Arial"/>
              </w:rPr>
              <w:t>Actividades para el alumno: INICIO</w:t>
            </w:r>
          </w:p>
        </w:tc>
        <w:tc>
          <w:tcPr>
            <w:tcW w:w="7274" w:type="dxa"/>
            <w:gridSpan w:val="4"/>
            <w:shd w:val="clear" w:color="auto" w:fill="9CC2E5" w:themeFill="accent1" w:themeFillTint="99"/>
          </w:tcPr>
          <w:p w:rsidR="00B22F97" w:rsidRPr="00F70D27" w:rsidRDefault="00B22F97" w:rsidP="00B22F97">
            <w:pPr>
              <w:spacing w:after="0"/>
              <w:jc w:val="both"/>
              <w:rPr>
                <w:rFonts w:ascii="Arial" w:eastAsiaTheme="minorEastAsia" w:hAnsi="Arial" w:cs="Arial"/>
                <w:color w:val="000000" w:themeColor="dark1"/>
                <w:kern w:val="24"/>
                <w:lang w:eastAsia="es-MX"/>
              </w:rPr>
            </w:pPr>
            <w:r w:rsidRPr="00F70D27">
              <w:rPr>
                <w:rFonts w:ascii="Arial" w:eastAsiaTheme="minorEastAsia" w:hAnsi="Arial" w:cs="Arial"/>
                <w:color w:val="000000" w:themeColor="dark1"/>
                <w:kern w:val="24"/>
                <w:lang w:eastAsia="es-MX"/>
              </w:rPr>
              <w:t>Orientaciones para el docente</w:t>
            </w:r>
            <w:r>
              <w:rPr>
                <w:rFonts w:ascii="Arial" w:eastAsiaTheme="minorEastAsia" w:hAnsi="Arial" w:cs="Arial"/>
                <w:color w:val="000000" w:themeColor="dark1"/>
                <w:kern w:val="24"/>
                <w:lang w:eastAsia="es-MX"/>
              </w:rPr>
              <w:t>: INICIO</w:t>
            </w:r>
          </w:p>
        </w:tc>
      </w:tr>
      <w:tr w:rsidR="00B22F97" w:rsidTr="00B22F97">
        <w:trPr>
          <w:trHeight w:val="7095"/>
        </w:trPr>
        <w:tc>
          <w:tcPr>
            <w:tcW w:w="7263" w:type="dxa"/>
            <w:gridSpan w:val="3"/>
          </w:tcPr>
          <w:p w:rsidR="00B22F97" w:rsidRPr="009401A9" w:rsidRDefault="00B22F97" w:rsidP="00B22F97">
            <w:pPr>
              <w:spacing w:after="0" w:line="240" w:lineRule="auto"/>
              <w:ind w:right="220"/>
              <w:rPr>
                <w:rFonts w:ascii="Arial" w:eastAsiaTheme="minorEastAsia" w:hAnsi="Arial" w:cs="Arial"/>
                <w:b/>
                <w:color w:val="000000" w:themeColor="dark1"/>
                <w:kern w:val="24"/>
                <w:sz w:val="18"/>
                <w:szCs w:val="18"/>
                <w:lang w:eastAsia="es-MX"/>
              </w:rPr>
            </w:pPr>
          </w:p>
          <w:p w:rsidR="00B22F97" w:rsidRPr="00F70D27" w:rsidRDefault="00B22F97" w:rsidP="00B22F97">
            <w:pPr>
              <w:pStyle w:val="Prrafodelista"/>
              <w:spacing w:after="0" w:line="240" w:lineRule="auto"/>
              <w:ind w:left="137" w:right="220"/>
              <w:jc w:val="both"/>
              <w:rPr>
                <w:rFonts w:ascii="Arial" w:eastAsiaTheme="minorEastAsia" w:hAnsi="Arial" w:cs="Arial"/>
                <w:color w:val="000000" w:themeColor="dark1"/>
                <w:kern w:val="24"/>
                <w:sz w:val="20"/>
                <w:szCs w:val="20"/>
                <w:lang w:eastAsia="es-MX"/>
              </w:rPr>
            </w:pPr>
            <w:r w:rsidRPr="00F70D27">
              <w:rPr>
                <w:rFonts w:ascii="Arial" w:eastAsiaTheme="minorEastAsia" w:hAnsi="Arial" w:cs="Arial"/>
                <w:color w:val="000000" w:themeColor="dark1"/>
                <w:kern w:val="24"/>
                <w:sz w:val="20"/>
                <w:szCs w:val="20"/>
                <w:lang w:eastAsia="es-MX"/>
              </w:rPr>
              <w:t>De forma individual consulta tres fuentes confiables de información e identifica las causas del abandono escolar en educación media superior. En equipo organiza la información mediante un Rank/Informe y presenta tus hallazgos en plenaria al grupo escolar. Mediante una mesa redonda establece qué es más importante en la toma de decisiones: lo emocional o lo racional en la decisión de continuar estudiando. De forma individual reflexiona sobre porque estudias el bachillerato y que necesitas hacer para no abandonarlo. Comparte tus reflexiones al grupo. (CO-001,CO-002, CO-015, CO-023)  (CS-001), (MA-009, MA-401).  (NIVEL TAXONOMICO COMPRENSIÓN/ METACOGNICION)</w:t>
            </w:r>
          </w:p>
          <w:p w:rsidR="00B22F97" w:rsidRPr="00F70D27" w:rsidRDefault="00B22F97" w:rsidP="00B22F97">
            <w:pPr>
              <w:pStyle w:val="Prrafodelista"/>
              <w:spacing w:after="0" w:line="240" w:lineRule="auto"/>
              <w:ind w:left="137" w:right="220"/>
              <w:jc w:val="both"/>
              <w:rPr>
                <w:rFonts w:ascii="Arial" w:eastAsiaTheme="minorEastAsia" w:hAnsi="Arial" w:cs="Arial"/>
                <w:color w:val="000000" w:themeColor="dark1"/>
                <w:kern w:val="24"/>
                <w:sz w:val="20"/>
                <w:szCs w:val="20"/>
                <w:lang w:eastAsia="es-MX"/>
              </w:rPr>
            </w:pPr>
          </w:p>
          <w:p w:rsidR="00B22F97" w:rsidRPr="009401A9" w:rsidRDefault="00B22F97" w:rsidP="00B22F97">
            <w:pPr>
              <w:pStyle w:val="Prrafodelista"/>
              <w:numPr>
                <w:ilvl w:val="0"/>
                <w:numId w:val="1"/>
              </w:numPr>
              <w:spacing w:after="0" w:line="240" w:lineRule="auto"/>
              <w:ind w:left="137" w:right="220"/>
              <w:jc w:val="both"/>
              <w:rPr>
                <w:rFonts w:ascii="Arial" w:eastAsiaTheme="minorEastAsia" w:hAnsi="Arial" w:cs="Arial"/>
                <w:color w:val="000000" w:themeColor="dark1"/>
                <w:kern w:val="24"/>
                <w:sz w:val="18"/>
                <w:szCs w:val="18"/>
                <w:lang w:eastAsia="es-MX"/>
              </w:rPr>
            </w:pPr>
            <w:r w:rsidRPr="00F70D27">
              <w:rPr>
                <w:rFonts w:ascii="Arial" w:eastAsiaTheme="minorEastAsia" w:hAnsi="Arial" w:cs="Arial"/>
                <w:color w:val="000000" w:themeColor="dark1"/>
                <w:kern w:val="24"/>
                <w:sz w:val="20"/>
                <w:szCs w:val="20"/>
                <w:lang w:eastAsia="es-MX"/>
              </w:rPr>
              <w:t xml:space="preserve">De forma individual entrevista a tres conocidos que hayan concluido la educación media superior e investiga: ¿por qué estudiaron el bachillerato?, ¿la decisión de estudiar fue libre o impuesta?, ¿qué obstáculos se presentaron y cómo lo resolvieron?, ¿qué beneficios les ha traído tal decisión? Reúnete en equipo y mediante una </w:t>
            </w:r>
            <w:r w:rsidRPr="00F70D27">
              <w:rPr>
                <w:rFonts w:ascii="Arial" w:eastAsiaTheme="minorEastAsia" w:hAnsi="Arial" w:cs="Arial"/>
                <w:i/>
                <w:color w:val="000000" w:themeColor="dark1"/>
                <w:kern w:val="24"/>
                <w:sz w:val="20"/>
                <w:szCs w:val="20"/>
                <w:lang w:eastAsia="es-MX"/>
              </w:rPr>
              <w:t xml:space="preserve">Sesión </w:t>
            </w:r>
            <w:proofErr w:type="spellStart"/>
            <w:r w:rsidRPr="00F70D27">
              <w:rPr>
                <w:rFonts w:ascii="Arial" w:eastAsiaTheme="minorEastAsia" w:hAnsi="Arial" w:cs="Arial"/>
                <w:i/>
                <w:color w:val="000000" w:themeColor="dark1"/>
                <w:kern w:val="24"/>
                <w:sz w:val="20"/>
                <w:szCs w:val="20"/>
                <w:lang w:eastAsia="es-MX"/>
              </w:rPr>
              <w:t>Buzz</w:t>
            </w:r>
            <w:proofErr w:type="spellEnd"/>
            <w:r w:rsidRPr="00F70D27">
              <w:rPr>
                <w:rFonts w:ascii="Arial" w:eastAsiaTheme="minorEastAsia" w:hAnsi="Arial" w:cs="Arial"/>
                <w:i/>
                <w:color w:val="000000" w:themeColor="dark1"/>
                <w:kern w:val="24"/>
                <w:sz w:val="20"/>
                <w:szCs w:val="20"/>
                <w:lang w:eastAsia="es-MX"/>
              </w:rPr>
              <w:t xml:space="preserve"> </w:t>
            </w:r>
            <w:r w:rsidRPr="00F70D27">
              <w:rPr>
                <w:rFonts w:ascii="Arial" w:eastAsiaTheme="minorEastAsia" w:hAnsi="Arial" w:cs="Arial"/>
                <w:color w:val="000000" w:themeColor="dark1"/>
                <w:kern w:val="24"/>
                <w:sz w:val="20"/>
                <w:szCs w:val="20"/>
                <w:lang w:eastAsia="es-MX"/>
              </w:rPr>
              <w:t>comparte tus hallazgos.</w:t>
            </w:r>
            <w:r w:rsidRPr="00F70D27">
              <w:rPr>
                <w:rFonts w:ascii="Arial" w:eastAsiaTheme="minorEastAsia" w:hAnsi="Arial" w:cs="Arial"/>
                <w:i/>
                <w:color w:val="000000" w:themeColor="dark1"/>
                <w:kern w:val="24"/>
                <w:sz w:val="20"/>
                <w:szCs w:val="20"/>
                <w:lang w:eastAsia="es-MX"/>
              </w:rPr>
              <w:t xml:space="preserve"> </w:t>
            </w:r>
            <w:r w:rsidRPr="00F70D27">
              <w:rPr>
                <w:rFonts w:ascii="Arial" w:eastAsiaTheme="minorEastAsia" w:hAnsi="Arial" w:cs="Arial"/>
                <w:color w:val="000000" w:themeColor="dark1"/>
                <w:kern w:val="24"/>
                <w:sz w:val="20"/>
                <w:szCs w:val="20"/>
                <w:lang w:eastAsia="es-MX"/>
              </w:rPr>
              <w:t xml:space="preserve">De forma individual da razones por escrito de por qué estudiar el bachillerato.  Comparte en binas tus razones. (CO-001, CO-002, CO-004, CO-005), (MA-009, MA-401), (CS-002).  (NIVEL </w:t>
            </w:r>
            <w:r w:rsidRPr="009401A9">
              <w:rPr>
                <w:rFonts w:ascii="Arial" w:eastAsiaTheme="minorEastAsia" w:hAnsi="Arial" w:cs="Arial"/>
                <w:color w:val="000000" w:themeColor="dark1"/>
                <w:kern w:val="24"/>
                <w:sz w:val="18"/>
                <w:szCs w:val="18"/>
                <w:lang w:eastAsia="es-MX"/>
              </w:rPr>
              <w:t>TAXONOMICO RECUPERACION/ANÁLISIS)</w:t>
            </w:r>
          </w:p>
          <w:p w:rsidR="00B22F97" w:rsidRDefault="00B22F97" w:rsidP="00B22F97">
            <w:pPr>
              <w:spacing w:after="0" w:line="240" w:lineRule="auto"/>
              <w:ind w:left="137" w:right="220"/>
              <w:jc w:val="both"/>
              <w:rPr>
                <w:rFonts w:ascii="Century Gothic" w:eastAsiaTheme="minorEastAsia" w:hAnsi="Century Gothic" w:cs="Arial"/>
                <w:b/>
                <w:color w:val="000000" w:themeColor="dark1"/>
                <w:kern w:val="24"/>
                <w:sz w:val="24"/>
                <w:szCs w:val="20"/>
                <w:lang w:eastAsia="es-MX"/>
              </w:rPr>
            </w:pPr>
          </w:p>
          <w:p w:rsidR="00B22F97" w:rsidRDefault="00B22F97" w:rsidP="00B22F97">
            <w:pPr>
              <w:rPr>
                <w:rFonts w:ascii="Arial" w:eastAsiaTheme="minorEastAsia" w:hAnsi="Arial" w:cs="Arial"/>
                <w:b/>
                <w:color w:val="000000" w:themeColor="dark1"/>
                <w:kern w:val="24"/>
                <w:sz w:val="18"/>
                <w:szCs w:val="18"/>
                <w:lang w:eastAsia="es-MX"/>
              </w:rPr>
            </w:pPr>
          </w:p>
        </w:tc>
        <w:tc>
          <w:tcPr>
            <w:tcW w:w="7274" w:type="dxa"/>
            <w:gridSpan w:val="4"/>
          </w:tcPr>
          <w:p w:rsidR="00B22F97" w:rsidRPr="00345AB6" w:rsidRDefault="00B22F97" w:rsidP="00B22F97">
            <w:pPr>
              <w:spacing w:after="0" w:line="240" w:lineRule="auto"/>
              <w:jc w:val="both"/>
              <w:rPr>
                <w:rFonts w:ascii="Arial" w:eastAsiaTheme="minorEastAsia" w:hAnsi="Arial" w:cs="Arial"/>
                <w:color w:val="000000" w:themeColor="dark1"/>
                <w:kern w:val="24"/>
                <w:sz w:val="19"/>
                <w:szCs w:val="19"/>
                <w:lang w:eastAsia="es-MX"/>
              </w:rPr>
            </w:pPr>
            <w:r w:rsidRPr="00345AB6">
              <w:rPr>
                <w:rFonts w:ascii="Arial" w:eastAsiaTheme="minorEastAsia" w:hAnsi="Arial" w:cs="Arial"/>
                <w:color w:val="000000" w:themeColor="dark1"/>
                <w:kern w:val="24"/>
                <w:sz w:val="19"/>
                <w:szCs w:val="19"/>
                <w:lang w:eastAsia="es-MX"/>
              </w:rPr>
              <w:t xml:space="preserve">La actividad 1 y 2 están orientadas a relacionar al estudiante con la situación de aprendizaje, el principal propósito es que mediante la observación y el análisis de su contexto pueda descubrir las causas y el efecto del abandono escolar. </w:t>
            </w:r>
          </w:p>
          <w:p w:rsidR="00B22F97" w:rsidRPr="00345AB6" w:rsidRDefault="00B22F97" w:rsidP="00B22F97">
            <w:pPr>
              <w:spacing w:after="0" w:line="240" w:lineRule="auto"/>
              <w:jc w:val="both"/>
              <w:rPr>
                <w:rFonts w:ascii="Arial" w:eastAsiaTheme="minorEastAsia" w:hAnsi="Arial" w:cs="Arial"/>
                <w:color w:val="000000" w:themeColor="dark1"/>
                <w:kern w:val="24"/>
                <w:sz w:val="19"/>
                <w:szCs w:val="19"/>
                <w:lang w:eastAsia="es-MX"/>
              </w:rPr>
            </w:pPr>
            <w:r w:rsidRPr="00345AB6">
              <w:rPr>
                <w:rFonts w:ascii="Arial" w:eastAsiaTheme="minorEastAsia" w:hAnsi="Arial" w:cs="Arial"/>
                <w:color w:val="000000" w:themeColor="dark1"/>
                <w:kern w:val="24"/>
                <w:sz w:val="19"/>
                <w:szCs w:val="19"/>
                <w:lang w:eastAsia="es-MX"/>
              </w:rPr>
              <w:t xml:space="preserve">Se sugiere favorecer la indagación. Utilizar preguntas puede ser un buen recurso para despertar el interés y la motivación del estudiante hacia el tema. </w:t>
            </w:r>
          </w:p>
          <w:p w:rsidR="00B22F97" w:rsidRPr="00345AB6" w:rsidRDefault="00B22F97" w:rsidP="00B22F97">
            <w:pPr>
              <w:spacing w:after="0" w:line="240" w:lineRule="auto"/>
              <w:jc w:val="both"/>
              <w:rPr>
                <w:rFonts w:ascii="Arial" w:eastAsiaTheme="minorEastAsia" w:hAnsi="Arial" w:cs="Arial"/>
                <w:color w:val="000000" w:themeColor="dark1"/>
                <w:kern w:val="24"/>
                <w:sz w:val="19"/>
                <w:szCs w:val="19"/>
                <w:lang w:eastAsia="es-MX"/>
              </w:rPr>
            </w:pPr>
            <w:r w:rsidRPr="00345AB6">
              <w:rPr>
                <w:rFonts w:ascii="Arial" w:eastAsiaTheme="minorEastAsia" w:hAnsi="Arial" w:cs="Arial"/>
                <w:color w:val="000000" w:themeColor="dark1"/>
                <w:kern w:val="24"/>
                <w:sz w:val="19"/>
                <w:szCs w:val="19"/>
                <w:lang w:eastAsia="es-MX"/>
              </w:rPr>
              <w:t xml:space="preserve">Fomentar el diálogo crítico al interior del grupo como estrategia de construcción del conocimiento seria de mucha ayuda para crear un ambiente grupal de disposición, de respeto, de escucha activa. Ambiente indispensable para aprender. No hay respuestas malas o erróneas al interior del grupo, todo comentario es un recurso valioso para aprender en comunidad. </w:t>
            </w:r>
          </w:p>
          <w:p w:rsidR="00B22F97" w:rsidRPr="00345AB6" w:rsidRDefault="00B22F97" w:rsidP="00B22F97">
            <w:pPr>
              <w:spacing w:after="0" w:line="240" w:lineRule="auto"/>
              <w:jc w:val="both"/>
              <w:rPr>
                <w:rFonts w:ascii="Arial" w:eastAsiaTheme="minorEastAsia" w:hAnsi="Arial" w:cs="Arial"/>
                <w:b/>
                <w:color w:val="000000" w:themeColor="dark1"/>
                <w:kern w:val="24"/>
                <w:sz w:val="19"/>
                <w:szCs w:val="19"/>
                <w:lang w:eastAsia="es-MX"/>
              </w:rPr>
            </w:pPr>
            <w:r w:rsidRPr="00345AB6">
              <w:rPr>
                <w:rFonts w:ascii="Arial" w:eastAsiaTheme="minorEastAsia" w:hAnsi="Arial" w:cs="Arial"/>
                <w:b/>
                <w:color w:val="000000" w:themeColor="dark1"/>
                <w:kern w:val="24"/>
                <w:sz w:val="19"/>
                <w:szCs w:val="19"/>
                <w:lang w:eastAsia="es-MX"/>
              </w:rPr>
              <w:t xml:space="preserve">En la actividad 1. </w:t>
            </w:r>
          </w:p>
          <w:p w:rsidR="00B22F97" w:rsidRPr="00345AB6" w:rsidRDefault="00B22F97" w:rsidP="00B22F97">
            <w:pPr>
              <w:spacing w:after="0" w:line="240" w:lineRule="auto"/>
              <w:jc w:val="both"/>
              <w:rPr>
                <w:rFonts w:ascii="Arial" w:eastAsiaTheme="minorEastAsia" w:hAnsi="Arial" w:cs="Arial"/>
                <w:color w:val="000000" w:themeColor="dark1"/>
                <w:kern w:val="24"/>
                <w:sz w:val="19"/>
                <w:szCs w:val="19"/>
                <w:lang w:eastAsia="es-MX"/>
              </w:rPr>
            </w:pPr>
            <w:r w:rsidRPr="00345AB6">
              <w:rPr>
                <w:rFonts w:ascii="Arial" w:eastAsiaTheme="minorEastAsia" w:hAnsi="Arial" w:cs="Arial"/>
                <w:color w:val="000000" w:themeColor="dark1"/>
                <w:kern w:val="24"/>
                <w:sz w:val="19"/>
                <w:szCs w:val="19"/>
                <w:lang w:eastAsia="es-MX"/>
              </w:rPr>
              <w:t xml:space="preserve">Se sugiere que el estudiante elabore un Rank informe siguiendo criterios que organicen la información recabada, esta actividad es un buen pretexto para propiciar la interdisciplinariedad con el área disciplinar de Matemáticas y Ciencias Sociales. En matemática, por ejemplo, relacionarlo con porcentajes, organización de la información y medidas de tendencia central dirigidas al análisis de causas y efectos del abandono escolar. </w:t>
            </w:r>
          </w:p>
          <w:p w:rsidR="00B22F97" w:rsidRPr="00345AB6" w:rsidRDefault="00B22F97" w:rsidP="00B22F97">
            <w:pPr>
              <w:spacing w:after="0" w:line="240" w:lineRule="auto"/>
              <w:jc w:val="both"/>
              <w:rPr>
                <w:rFonts w:ascii="Arial" w:eastAsiaTheme="minorEastAsia" w:hAnsi="Arial" w:cs="Arial"/>
                <w:color w:val="000000" w:themeColor="dark1"/>
                <w:kern w:val="24"/>
                <w:sz w:val="19"/>
                <w:szCs w:val="19"/>
                <w:lang w:eastAsia="es-MX"/>
              </w:rPr>
            </w:pPr>
            <w:r w:rsidRPr="00345AB6">
              <w:rPr>
                <w:rFonts w:ascii="Arial" w:eastAsiaTheme="minorEastAsia" w:hAnsi="Arial" w:cs="Arial"/>
                <w:color w:val="000000" w:themeColor="dark1"/>
                <w:kern w:val="24"/>
                <w:sz w:val="19"/>
                <w:szCs w:val="19"/>
                <w:lang w:eastAsia="es-MX"/>
              </w:rPr>
              <w:t xml:space="preserve">En Ciencias Sociales se puede clarificar la diferencia entre sentido común y el conocimiento científico, así como la complejidad del ser humano como un ser social y que tras el fenómeno del abandono escolar se detonan problemáticas sociales. </w:t>
            </w:r>
          </w:p>
          <w:p w:rsidR="00B22F97" w:rsidRPr="00345AB6" w:rsidRDefault="00B22F97" w:rsidP="00B22F97">
            <w:pPr>
              <w:spacing w:after="0" w:line="240" w:lineRule="auto"/>
              <w:jc w:val="both"/>
              <w:rPr>
                <w:rFonts w:ascii="Arial" w:eastAsiaTheme="minorEastAsia" w:hAnsi="Arial" w:cs="Arial"/>
                <w:color w:val="000000" w:themeColor="dark1"/>
                <w:kern w:val="24"/>
                <w:sz w:val="19"/>
                <w:szCs w:val="19"/>
                <w:lang w:eastAsia="es-MX"/>
              </w:rPr>
            </w:pPr>
            <w:r w:rsidRPr="00345AB6">
              <w:rPr>
                <w:rFonts w:ascii="Arial" w:eastAsiaTheme="minorEastAsia" w:hAnsi="Arial" w:cs="Arial"/>
                <w:color w:val="000000" w:themeColor="dark1"/>
                <w:kern w:val="24"/>
                <w:sz w:val="19"/>
                <w:szCs w:val="19"/>
                <w:lang w:eastAsia="es-MX"/>
              </w:rPr>
              <w:t xml:space="preserve">Se sugiere propiciar la reflexión sobre el efecto de qué pesa más la razón o la emoción y sus implicaciones en la toma de decisiones. </w:t>
            </w:r>
          </w:p>
          <w:p w:rsidR="00B22F97" w:rsidRPr="00345AB6" w:rsidRDefault="00B22F97" w:rsidP="00B22F97">
            <w:pPr>
              <w:spacing w:after="0" w:line="240" w:lineRule="auto"/>
              <w:rPr>
                <w:rFonts w:ascii="Arial" w:eastAsiaTheme="minorEastAsia" w:hAnsi="Arial" w:cs="Arial"/>
                <w:b/>
                <w:color w:val="000000" w:themeColor="dark1"/>
                <w:kern w:val="24"/>
                <w:sz w:val="19"/>
                <w:szCs w:val="19"/>
                <w:lang w:eastAsia="es-MX"/>
              </w:rPr>
            </w:pPr>
            <w:r w:rsidRPr="00345AB6">
              <w:rPr>
                <w:rFonts w:ascii="Arial" w:eastAsiaTheme="minorEastAsia" w:hAnsi="Arial" w:cs="Arial"/>
                <w:b/>
                <w:color w:val="000000" w:themeColor="dark1"/>
                <w:kern w:val="24"/>
                <w:sz w:val="19"/>
                <w:szCs w:val="19"/>
                <w:lang w:eastAsia="es-MX"/>
              </w:rPr>
              <w:t xml:space="preserve">En la actividad 2: </w:t>
            </w:r>
          </w:p>
          <w:p w:rsidR="00B22F97" w:rsidRPr="00345AB6" w:rsidRDefault="00B22F97" w:rsidP="00B22F97">
            <w:pPr>
              <w:spacing w:after="0" w:line="240" w:lineRule="auto"/>
              <w:jc w:val="both"/>
              <w:rPr>
                <w:rFonts w:ascii="Arial" w:eastAsiaTheme="minorEastAsia" w:hAnsi="Arial" w:cs="Arial"/>
                <w:color w:val="000000" w:themeColor="dark1"/>
                <w:kern w:val="24"/>
                <w:sz w:val="19"/>
                <w:szCs w:val="19"/>
                <w:lang w:eastAsia="es-MX"/>
              </w:rPr>
            </w:pPr>
            <w:r w:rsidRPr="00345AB6">
              <w:rPr>
                <w:rFonts w:ascii="Arial" w:eastAsiaTheme="minorEastAsia" w:hAnsi="Arial" w:cs="Arial"/>
                <w:color w:val="000000" w:themeColor="dark1"/>
                <w:kern w:val="24"/>
                <w:sz w:val="19"/>
                <w:szCs w:val="19"/>
                <w:lang w:eastAsia="es-MX"/>
              </w:rPr>
              <w:t>Dar preguntas guías al estudiante para orientar la estructura de su entrevista, sin embargo el estudiante puede enriquecer la entrevista con las preguntas que considere.  Esta actividad se puede fortalecer con el contenido del área disciplinar de Comunicación “</w:t>
            </w:r>
            <w:r w:rsidRPr="00345AB6">
              <w:rPr>
                <w:rFonts w:ascii="Arial" w:eastAsia="Times New Roman" w:hAnsi="Arial" w:cs="Arial"/>
                <w:sz w:val="19"/>
                <w:szCs w:val="19"/>
                <w:lang w:eastAsia="es-MX"/>
              </w:rPr>
              <w:t>La importancia de escuchar y retroalimentar”.</w:t>
            </w:r>
          </w:p>
          <w:p w:rsidR="00B22F97" w:rsidRDefault="00B22F97" w:rsidP="00B22F97">
            <w:pPr>
              <w:spacing w:after="0" w:line="240" w:lineRule="auto"/>
              <w:jc w:val="both"/>
              <w:rPr>
                <w:rFonts w:ascii="Arial" w:eastAsiaTheme="minorEastAsia" w:hAnsi="Arial" w:cs="Arial"/>
                <w:color w:val="000000" w:themeColor="dark1"/>
                <w:kern w:val="24"/>
                <w:sz w:val="18"/>
                <w:szCs w:val="18"/>
                <w:lang w:eastAsia="es-MX"/>
              </w:rPr>
            </w:pPr>
            <w:r w:rsidRPr="00345AB6">
              <w:rPr>
                <w:rFonts w:ascii="Arial" w:eastAsiaTheme="minorEastAsia" w:hAnsi="Arial" w:cs="Arial"/>
                <w:color w:val="000000" w:themeColor="dark1"/>
                <w:kern w:val="24"/>
                <w:sz w:val="19"/>
                <w:szCs w:val="19"/>
                <w:lang w:eastAsia="es-MX"/>
              </w:rPr>
              <w:t xml:space="preserve">La sesión </w:t>
            </w:r>
            <w:proofErr w:type="spellStart"/>
            <w:proofErr w:type="gramStart"/>
            <w:r w:rsidRPr="00345AB6">
              <w:rPr>
                <w:rFonts w:ascii="Arial" w:eastAsiaTheme="minorEastAsia" w:hAnsi="Arial" w:cs="Arial"/>
                <w:color w:val="000000" w:themeColor="dark1"/>
                <w:kern w:val="24"/>
                <w:sz w:val="19"/>
                <w:szCs w:val="19"/>
                <w:lang w:eastAsia="es-MX"/>
              </w:rPr>
              <w:t>Buzz</w:t>
            </w:r>
            <w:proofErr w:type="spellEnd"/>
            <w:r w:rsidRPr="00345AB6">
              <w:rPr>
                <w:rFonts w:ascii="Arial" w:eastAsiaTheme="minorEastAsia" w:hAnsi="Arial" w:cs="Arial"/>
                <w:color w:val="000000" w:themeColor="dark1"/>
                <w:kern w:val="24"/>
                <w:sz w:val="19"/>
                <w:szCs w:val="19"/>
                <w:lang w:eastAsia="es-MX"/>
              </w:rPr>
              <w:t>(</w:t>
            </w:r>
            <w:proofErr w:type="gramEnd"/>
            <w:r w:rsidRPr="00345AB6">
              <w:rPr>
                <w:rFonts w:ascii="Arial" w:eastAsiaTheme="minorEastAsia" w:hAnsi="Arial" w:cs="Arial"/>
                <w:color w:val="000000" w:themeColor="dark1"/>
                <w:kern w:val="24"/>
                <w:sz w:val="19"/>
                <w:szCs w:val="19"/>
                <w:lang w:eastAsia="es-MX"/>
              </w:rPr>
              <w:t>mini discurso en plenaria) permite socializar en un pequeño grupo la información recabada en la entrevista, al mismo tiempo unificar las ideas y publicarlas.  Es importante que el estudiante logre identificar sus razones para estudiar. El contenido de ética Autonomía y Heteronomía es base para orientar a la reflexión grupal sobre lo impuesto y lo aceptado libremente.</w:t>
            </w:r>
          </w:p>
        </w:tc>
      </w:tr>
    </w:tbl>
    <w:p w:rsidR="009276FA" w:rsidRPr="009276FA" w:rsidRDefault="009276FA">
      <w:pPr>
        <w:rPr>
          <w:rFonts w:ascii="Arial" w:hAnsi="Arial" w:cs="Arial"/>
        </w:rPr>
      </w:pPr>
    </w:p>
    <w:sectPr w:rsidR="009276FA" w:rsidRPr="009276FA" w:rsidSect="00AB5271">
      <w:headerReference w:type="default" r:id="rId7"/>
      <w:footerReference w:type="default" r:id="rId8"/>
      <w:pgSz w:w="15840" w:h="12240" w:orient="landscape"/>
      <w:pgMar w:top="720" w:right="720" w:bottom="720" w:left="720" w:header="45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C6" w:rsidRDefault="005E54C6" w:rsidP="00AB5271">
      <w:pPr>
        <w:spacing w:after="0" w:line="240" w:lineRule="auto"/>
      </w:pPr>
      <w:r>
        <w:separator/>
      </w:r>
    </w:p>
  </w:endnote>
  <w:endnote w:type="continuationSeparator" w:id="0">
    <w:p w:rsidR="005E54C6" w:rsidRDefault="005E54C6" w:rsidP="00AB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71" w:rsidRDefault="00AB5271">
    <w:pPr>
      <w:pStyle w:val="Piedepgina"/>
    </w:pPr>
    <w:r>
      <w:rPr>
        <w:noProof/>
        <w:lang w:eastAsia="es-MX"/>
      </w:rPr>
      <w:drawing>
        <wp:anchor distT="0" distB="0" distL="114300" distR="114300" simplePos="0" relativeHeight="251661312" behindDoc="1" locked="0" layoutInCell="1" allowOverlap="1" wp14:anchorId="4895B225" wp14:editId="31E00085">
          <wp:simplePos x="0" y="0"/>
          <wp:positionH relativeFrom="column">
            <wp:posOffset>0</wp:posOffset>
          </wp:positionH>
          <wp:positionV relativeFrom="paragraph">
            <wp:posOffset>0</wp:posOffset>
          </wp:positionV>
          <wp:extent cx="9990684" cy="1099669"/>
          <wp:effectExtent l="0" t="0" r="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105 B-N Cintillos para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0684" cy="109966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C6" w:rsidRDefault="005E54C6" w:rsidP="00AB5271">
      <w:pPr>
        <w:spacing w:after="0" w:line="240" w:lineRule="auto"/>
      </w:pPr>
      <w:r>
        <w:separator/>
      </w:r>
    </w:p>
  </w:footnote>
  <w:footnote w:type="continuationSeparator" w:id="0">
    <w:p w:rsidR="005E54C6" w:rsidRDefault="005E54C6" w:rsidP="00AB5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71" w:rsidRDefault="00AB5271" w:rsidP="00AB5271">
    <w:pPr>
      <w:pStyle w:val="Encabezado"/>
      <w:tabs>
        <w:tab w:val="clear" w:pos="4419"/>
        <w:tab w:val="clear" w:pos="8838"/>
        <w:tab w:val="left" w:pos="2429"/>
      </w:tabs>
    </w:pPr>
    <w:r>
      <w:tab/>
    </w:r>
    <w:r>
      <w:rPr>
        <w:noProof/>
        <w:lang w:eastAsia="es-MX"/>
      </w:rPr>
      <w:drawing>
        <wp:anchor distT="0" distB="0" distL="114300" distR="114300" simplePos="0" relativeHeight="251659264" behindDoc="1" locked="0" layoutInCell="1" allowOverlap="1" wp14:anchorId="01982C86" wp14:editId="45F0D324">
          <wp:simplePos x="0" y="0"/>
          <wp:positionH relativeFrom="column">
            <wp:posOffset>0</wp:posOffset>
          </wp:positionH>
          <wp:positionV relativeFrom="paragraph">
            <wp:posOffset>-635</wp:posOffset>
          </wp:positionV>
          <wp:extent cx="10026015" cy="1351722"/>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eriorCintillos para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015" cy="13517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A07A3"/>
    <w:multiLevelType w:val="hybridMultilevel"/>
    <w:tmpl w:val="8A9864BE"/>
    <w:lvl w:ilvl="0" w:tplc="625CCB78">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71"/>
    <w:rsid w:val="00117FAB"/>
    <w:rsid w:val="0014749C"/>
    <w:rsid w:val="00200F32"/>
    <w:rsid w:val="00276548"/>
    <w:rsid w:val="002F3936"/>
    <w:rsid w:val="00345AB6"/>
    <w:rsid w:val="003B3D8C"/>
    <w:rsid w:val="004A3A7B"/>
    <w:rsid w:val="00556D15"/>
    <w:rsid w:val="005B3758"/>
    <w:rsid w:val="005B6133"/>
    <w:rsid w:val="005E54C6"/>
    <w:rsid w:val="00697151"/>
    <w:rsid w:val="009276FA"/>
    <w:rsid w:val="009401A9"/>
    <w:rsid w:val="00AB5271"/>
    <w:rsid w:val="00AC6FBB"/>
    <w:rsid w:val="00B22F97"/>
    <w:rsid w:val="00CA17BB"/>
    <w:rsid w:val="00D9086E"/>
    <w:rsid w:val="00DE7047"/>
    <w:rsid w:val="00E007D8"/>
    <w:rsid w:val="00E13C7E"/>
    <w:rsid w:val="00E77DC3"/>
    <w:rsid w:val="00F70D27"/>
    <w:rsid w:val="00F92A6C"/>
    <w:rsid w:val="00FE3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7736A3-9815-45CA-BB5C-99F64302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2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271"/>
  </w:style>
  <w:style w:type="paragraph" w:styleId="Piedepgina">
    <w:name w:val="footer"/>
    <w:basedOn w:val="Normal"/>
    <w:link w:val="PiedepginaCar"/>
    <w:uiPriority w:val="99"/>
    <w:unhideWhenUsed/>
    <w:rsid w:val="00AB52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271"/>
  </w:style>
  <w:style w:type="paragraph" w:styleId="Prrafodelista">
    <w:name w:val="List Paragraph"/>
    <w:basedOn w:val="Normal"/>
    <w:uiPriority w:val="34"/>
    <w:qFormat/>
    <w:rsid w:val="00E7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2018-07-10T17:20:00Z</dcterms:created>
  <dcterms:modified xsi:type="dcterms:W3CDTF">2018-07-10T17:20:00Z</dcterms:modified>
</cp:coreProperties>
</file>